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73" w:rsidRDefault="00C76073" w:rsidP="00C7607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S.01.02 - Basic information</w:t>
      </w:r>
    </w:p>
    <w:p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904470" w:rsidRDefault="00904470" w:rsidP="00904470">
      <w:pPr>
        <w:jc w:val="both"/>
        <w:rPr>
          <w:rFonts w:ascii="Times New Roman" w:hAnsi="Times New Roman" w:cs="Times New Roman"/>
          <w:sz w:val="20"/>
          <w:szCs w:val="20"/>
        </w:rPr>
      </w:pPr>
      <w:r w:rsidRPr="006966A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 xml:space="preserve"> of this </w:t>
      </w:r>
      <w:r>
        <w:rPr>
          <w:rFonts w:ascii="Times New Roman" w:hAnsi="Times New Roman" w:cs="Times New Roman"/>
          <w:sz w:val="20"/>
          <w:szCs w:val="20"/>
        </w:rPr>
        <w:t>Guideline</w:t>
      </w:r>
      <w:r w:rsidRPr="006966AC">
        <w:rPr>
          <w:rFonts w:ascii="Times New Roman" w:hAnsi="Times New Roman" w:cs="Times New Roman"/>
          <w:sz w:val="20"/>
          <w:szCs w:val="20"/>
        </w:rPr>
        <w:t xml:space="preserve">. The first column of the next table identifies the items to be reported by identifying the columns and lines as showed in the template in Annex 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>I.</w:t>
      </w:r>
    </w:p>
    <w:p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 xml:space="preserve">This annex relates to opening, quarterly and annual submission of information for </w:t>
      </w:r>
      <w:r w:rsidR="00DE1383">
        <w:rPr>
          <w:rFonts w:ascii="Times New Roman" w:hAnsi="Times New Roman" w:cs="Times New Roman"/>
          <w:sz w:val="20"/>
          <w:szCs w:val="20"/>
        </w:rPr>
        <w:t>third countries branches</w:t>
      </w:r>
      <w:r w:rsidRPr="00B96465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139"/>
        <w:gridCol w:w="5764"/>
      </w:tblGrid>
      <w:tr w:rsidR="006646AF" w:rsidRPr="00B96465" w:rsidTr="004A6443">
        <w:trPr>
          <w:trHeight w:val="285"/>
        </w:trPr>
        <w:tc>
          <w:tcPr>
            <w:tcW w:w="1339" w:type="dxa"/>
            <w:noWrap/>
            <w:hideMark/>
          </w:tcPr>
          <w:p w:rsidR="00F22EA6" w:rsidRPr="00B02D47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64" w:type="dxa"/>
            <w:hideMark/>
          </w:tcPr>
          <w:p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6646AF" w:rsidRPr="00B02D47" w:rsidTr="004A6443">
        <w:trPr>
          <w:trHeight w:val="675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Undertaking</w:t>
            </w:r>
          </w:p>
        </w:tc>
        <w:tc>
          <w:tcPr>
            <w:tcW w:w="5764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Undertaking.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:rsidTr="004A6443">
        <w:trPr>
          <w:trHeight w:val="675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Undertaking</w:t>
            </w:r>
          </w:p>
        </w:tc>
        <w:tc>
          <w:tcPr>
            <w:tcW w:w="5764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third country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undertaki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 was authorised </w:t>
            </w:r>
          </w:p>
        </w:tc>
      </w:tr>
      <w:tr w:rsidR="006646AF" w:rsidRPr="00B02D47" w:rsidTr="004A6443">
        <w:trPr>
          <w:trHeight w:val="675"/>
        </w:trPr>
        <w:tc>
          <w:tcPr>
            <w:tcW w:w="1339" w:type="dxa"/>
          </w:tcPr>
          <w:p w:rsid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branch</w:t>
            </w:r>
          </w:p>
        </w:tc>
        <w:tc>
          <w:tcPr>
            <w:tcW w:w="5764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:rsidTr="004A6443">
        <w:trPr>
          <w:trHeight w:val="675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branch</w:t>
            </w:r>
          </w:p>
        </w:tc>
        <w:tc>
          <w:tcPr>
            <w:tcW w:w="5764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third country branch was authorised</w:t>
            </w:r>
          </w:p>
        </w:tc>
      </w:tr>
      <w:tr w:rsidR="006646AF" w:rsidRPr="00B02D47" w:rsidTr="006646AF">
        <w:trPr>
          <w:trHeight w:val="982"/>
        </w:trPr>
        <w:tc>
          <w:tcPr>
            <w:tcW w:w="1339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</w:p>
        </w:tc>
        <w:tc>
          <w:tcPr>
            <w:tcW w:w="5764" w:type="dxa"/>
            <w:hideMark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, using the following priority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Legal Entity Identifier (LEI)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Identification code used in the local market, attributed by supervisory authority </w:t>
            </w:r>
          </w:p>
        </w:tc>
      </w:tr>
      <w:tr w:rsidR="006646AF" w:rsidRPr="00B24CAB" w:rsidTr="006646AF">
        <w:trPr>
          <w:trHeight w:val="1212"/>
        </w:trPr>
        <w:tc>
          <w:tcPr>
            <w:tcW w:w="1339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Type of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third country branch</w:t>
            </w:r>
          </w:p>
        </w:tc>
        <w:tc>
          <w:tcPr>
            <w:tcW w:w="5764" w:type="dxa"/>
            <w:hideMark/>
          </w:tcPr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0B6A"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- Specific code</w:t>
            </w:r>
          </w:p>
        </w:tc>
      </w:tr>
      <w:tr w:rsidR="006646AF" w:rsidRPr="00B96465" w:rsidTr="004A6443">
        <w:trPr>
          <w:trHeight w:val="570"/>
        </w:trPr>
        <w:tc>
          <w:tcPr>
            <w:tcW w:w="1339" w:type="dxa"/>
            <w:hideMark/>
          </w:tcPr>
          <w:p w:rsidR="00B02D47" w:rsidRPr="00B02D47" w:rsidRDefault="00B02D47" w:rsidP="0066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764" w:type="dxa"/>
            <w:hideMark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 xml:space="preserve">2 letter code of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code of the language used in the submission of information</w:t>
            </w:r>
          </w:p>
        </w:tc>
      </w:tr>
      <w:tr w:rsidR="006646AF" w:rsidRPr="00B96465" w:rsidTr="004A6443">
        <w:trPr>
          <w:trHeight w:val="360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submission date</w:t>
            </w:r>
          </w:p>
        </w:tc>
        <w:tc>
          <w:tcPr>
            <w:tcW w:w="5764" w:type="dxa"/>
            <w:hideMark/>
          </w:tcPr>
          <w:p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when the report to the supervisory authority is made</w:t>
            </w:r>
          </w:p>
        </w:tc>
      </w:tr>
      <w:tr w:rsidR="006646AF" w:rsidRPr="00B96465" w:rsidTr="004A6443">
        <w:trPr>
          <w:trHeight w:val="402"/>
        </w:trPr>
        <w:tc>
          <w:tcPr>
            <w:tcW w:w="1339" w:type="dxa"/>
            <w:hideMark/>
          </w:tcPr>
          <w:p w:rsidR="00B02D47" w:rsidRPr="00B02D47" w:rsidRDefault="006633FA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C0010/R090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reference date</w:t>
            </w:r>
          </w:p>
        </w:tc>
        <w:tc>
          <w:tcPr>
            <w:tcW w:w="5764" w:type="dxa"/>
            <w:hideMark/>
          </w:tcPr>
          <w:p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identifying the last day of the reporting period</w:t>
            </w:r>
          </w:p>
        </w:tc>
      </w:tr>
      <w:tr w:rsidR="006646AF" w:rsidRPr="00B96465" w:rsidTr="004A6443">
        <w:trPr>
          <w:trHeight w:val="1230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764" w:type="dxa"/>
            <w:hideMark/>
          </w:tcPr>
          <w:p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</w:tc>
      </w:tr>
      <w:tr w:rsidR="006646AF" w:rsidRPr="00B96465" w:rsidTr="004A6443">
        <w:trPr>
          <w:trHeight w:val="702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764" w:type="dxa"/>
            <w:hideMark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 of the monetary amounts used in each report</w:t>
            </w:r>
          </w:p>
        </w:tc>
      </w:tr>
      <w:tr w:rsidR="006646AF" w:rsidRPr="00B96465" w:rsidTr="00B02D47">
        <w:trPr>
          <w:trHeight w:val="1408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764" w:type="dxa"/>
            <w:hideMark/>
          </w:tcPr>
          <w:p w:rsidR="00B02D47" w:rsidRPr="00B96465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:rsidR="00B02D47" w:rsidRPr="00B02D47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6646AF" w:rsidRPr="00B96465" w:rsidTr="006646AF">
        <w:trPr>
          <w:trHeight w:val="1329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764" w:type="dxa"/>
            <w:hideMark/>
          </w:tcPr>
          <w:p w:rsidR="00B02D47" w:rsidRPr="00B96465" w:rsidRDefault="00F80D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D7E">
              <w:rPr>
                <w:rFonts w:ascii="Times New Roman" w:hAnsi="Times New Roman" w:cs="Times New Roman"/>
                <w:sz w:val="20"/>
                <w:szCs w:val="20"/>
              </w:rPr>
              <w:t>Identify the method used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to calculate the SCR. The following closed list of options shall be used: 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6646AF" w:rsidRPr="00B96465" w:rsidTr="006646AF">
        <w:trPr>
          <w:trHeight w:val="981"/>
        </w:trPr>
        <w:tc>
          <w:tcPr>
            <w:tcW w:w="1339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Del="007C757E" w:rsidRDefault="00B02D47" w:rsidP="00F8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Use of undertaking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80D7E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764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undertaking specific parameters.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Use of undertaking specific parameters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6646AF" w:rsidRPr="00B96465" w:rsidTr="006646AF">
        <w:trPr>
          <w:trHeight w:val="1122"/>
        </w:trPr>
        <w:tc>
          <w:tcPr>
            <w:tcW w:w="1339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764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activity by Ring Fenced Funds (RFF).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6646AF" w:rsidRPr="00B96465" w:rsidTr="006646AF">
        <w:trPr>
          <w:trHeight w:val="1138"/>
        </w:trPr>
        <w:tc>
          <w:tcPr>
            <w:tcW w:w="1339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764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6646AF" w:rsidRPr="00B96465" w:rsidTr="00B02D47">
        <w:trPr>
          <w:trHeight w:val="1037"/>
        </w:trPr>
        <w:tc>
          <w:tcPr>
            <w:tcW w:w="1339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764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6646AF" w:rsidRPr="00B96465" w:rsidTr="004A6443">
        <w:trPr>
          <w:trHeight w:val="1305"/>
        </w:trPr>
        <w:tc>
          <w:tcPr>
            <w:tcW w:w="1339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C0010/R019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764" w:type="dxa"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transitional measure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the risk-free interest rate</w:t>
            </w:r>
            <w:r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96465" w:rsidTr="004A6443">
        <w:trPr>
          <w:trHeight w:val="1305"/>
        </w:trPr>
        <w:tc>
          <w:tcPr>
            <w:tcW w:w="1339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B02D47" w:rsidRPr="00B02D47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764" w:type="dxa"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646AF" w:rsidRPr="00B96465" w:rsidTr="004A6443">
        <w:trPr>
          <w:trHeight w:val="1305"/>
        </w:trPr>
        <w:tc>
          <w:tcPr>
            <w:tcW w:w="1339" w:type="dxa"/>
          </w:tcPr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B02D47" w:rsidRPr="00B96465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764" w:type="dxa"/>
          </w:tcPr>
          <w:p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</w:tc>
      </w:tr>
      <w:tr w:rsidR="00C4124C" w:rsidRPr="00C4124C" w:rsidTr="00480932">
        <w:trPr>
          <w:trHeight w:val="1248"/>
        </w:trPr>
        <w:tc>
          <w:tcPr>
            <w:tcW w:w="1339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C0010/R0220</w:t>
            </w:r>
          </w:p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Type of branch</w:t>
            </w:r>
          </w:p>
        </w:tc>
        <w:tc>
          <w:tcPr>
            <w:tcW w:w="5764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the reporting branch. The following closed list of options shall be used to identify the activity of the branch: 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1 - Branches</w:t>
            </w:r>
            <w:r w:rsidRPr="00C4124C">
              <w:t xml:space="preserve"> 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pursuing both life and non-life insurance activity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2 - Life branch</w:t>
            </w:r>
          </w:p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3 - Non-Life branch</w:t>
            </w:r>
          </w:p>
        </w:tc>
      </w:tr>
      <w:bookmarkEnd w:id="0"/>
      <w:tr w:rsidR="006646AF" w:rsidRPr="00B02D47" w:rsidTr="006646AF">
        <w:trPr>
          <w:trHeight w:val="1012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Article 167</w:t>
            </w:r>
          </w:p>
        </w:tc>
        <w:tc>
          <w:tcPr>
            <w:tcW w:w="5764" w:type="dxa"/>
          </w:tcPr>
          <w:p w:rsidR="00B02D47" w:rsidRPr="00B96465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article 167 is applicable.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used:</w:t>
            </w:r>
          </w:p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1 – Article 167 is applied</w:t>
            </w:r>
          </w:p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2 – Article 167 is not applied</w:t>
            </w:r>
          </w:p>
        </w:tc>
      </w:tr>
      <w:tr w:rsidR="006646AF" w:rsidRPr="00B02D47" w:rsidTr="006646AF">
        <w:trPr>
          <w:trHeight w:val="629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the branch included in article 167</w:t>
            </w:r>
          </w:p>
        </w:tc>
        <w:tc>
          <w:tcPr>
            <w:tcW w:w="5764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 covered by article 167</w:t>
            </w:r>
          </w:p>
        </w:tc>
      </w:tr>
      <w:tr w:rsidR="006646AF" w:rsidRPr="00B02D47" w:rsidTr="006646AF">
        <w:trPr>
          <w:trHeight w:val="591"/>
        </w:trPr>
        <w:tc>
          <w:tcPr>
            <w:tcW w:w="1339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the branch included in article 167</w:t>
            </w:r>
          </w:p>
        </w:tc>
        <w:tc>
          <w:tcPr>
            <w:tcW w:w="5764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3166 code of the countr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each third country branch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covered by article 167</w:t>
            </w:r>
          </w:p>
        </w:tc>
      </w:tr>
    </w:tbl>
    <w:p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22EA6"/>
    <w:rsid w:val="00072A8B"/>
    <w:rsid w:val="000916EC"/>
    <w:rsid w:val="000E217A"/>
    <w:rsid w:val="0010651B"/>
    <w:rsid w:val="001A0976"/>
    <w:rsid w:val="001A7774"/>
    <w:rsid w:val="001C17D1"/>
    <w:rsid w:val="002362B3"/>
    <w:rsid w:val="002B23B6"/>
    <w:rsid w:val="002D4E7E"/>
    <w:rsid w:val="00347579"/>
    <w:rsid w:val="00375E19"/>
    <w:rsid w:val="0038374F"/>
    <w:rsid w:val="00442C50"/>
    <w:rsid w:val="00452588"/>
    <w:rsid w:val="00456050"/>
    <w:rsid w:val="00466C67"/>
    <w:rsid w:val="004A6443"/>
    <w:rsid w:val="004B0E08"/>
    <w:rsid w:val="004B1646"/>
    <w:rsid w:val="004C7191"/>
    <w:rsid w:val="00507C1A"/>
    <w:rsid w:val="005C6A39"/>
    <w:rsid w:val="005E4AE0"/>
    <w:rsid w:val="006633FA"/>
    <w:rsid w:val="006646AF"/>
    <w:rsid w:val="00714C7E"/>
    <w:rsid w:val="007674FF"/>
    <w:rsid w:val="00771442"/>
    <w:rsid w:val="007C757E"/>
    <w:rsid w:val="00813805"/>
    <w:rsid w:val="0088437E"/>
    <w:rsid w:val="008927ED"/>
    <w:rsid w:val="008D055A"/>
    <w:rsid w:val="00904470"/>
    <w:rsid w:val="00910B6A"/>
    <w:rsid w:val="00915255"/>
    <w:rsid w:val="00932469"/>
    <w:rsid w:val="009350D6"/>
    <w:rsid w:val="00954339"/>
    <w:rsid w:val="00983B66"/>
    <w:rsid w:val="009E2FC1"/>
    <w:rsid w:val="00A070F1"/>
    <w:rsid w:val="00A16F09"/>
    <w:rsid w:val="00A87D80"/>
    <w:rsid w:val="00AD52A0"/>
    <w:rsid w:val="00B02D47"/>
    <w:rsid w:val="00B24CAB"/>
    <w:rsid w:val="00B96465"/>
    <w:rsid w:val="00BB7862"/>
    <w:rsid w:val="00BC3EF4"/>
    <w:rsid w:val="00BD71BE"/>
    <w:rsid w:val="00C3147D"/>
    <w:rsid w:val="00C4124C"/>
    <w:rsid w:val="00C55157"/>
    <w:rsid w:val="00C76073"/>
    <w:rsid w:val="00CA2DA5"/>
    <w:rsid w:val="00D84C12"/>
    <w:rsid w:val="00DA3966"/>
    <w:rsid w:val="00DB414B"/>
    <w:rsid w:val="00DE1383"/>
    <w:rsid w:val="00E11379"/>
    <w:rsid w:val="00E11402"/>
    <w:rsid w:val="00E84935"/>
    <w:rsid w:val="00F22114"/>
    <w:rsid w:val="00F22EA6"/>
    <w:rsid w:val="00F800F9"/>
    <w:rsid w:val="00F80D7E"/>
    <w:rsid w:val="00F87E2A"/>
    <w:rsid w:val="00FB13C4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470D-9740-476C-8D37-9A376B56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6</cp:revision>
  <dcterms:created xsi:type="dcterms:W3CDTF">2015-06-29T11:33:00Z</dcterms:created>
  <dcterms:modified xsi:type="dcterms:W3CDTF">2015-10-01T09:10:00Z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1740282622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477583709</vt:i4>
  </property>
  <property fmtid="{D5CDD505-2E9C-101B-9397-08002B2CF9AE}" pid="8" name="_ReviewingToolsShownOnce">
    <vt:lpwstr/>
  </property>
</Properties>
</file>